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1000" w:line="336" w:lineRule="auto"/>
        <w:jc w:val="center"/>
        <w:bidi/>
      </w:pPr>
      <w:r>
        <w:rPr>
          <w:rFonts w:ascii="Arial" w:hAnsi="Arial" w:cs="Arial"/>
          <w:b/>
          <w:color w:val="1B4F72"/>
          <w:sz w:val="48"/>
          <w:rtl w:val="1"/>
        </w:rPr>
        <w:t>بحث كامل مع الفهرس والمراجع</w:t>
      </w:r>
    </w:p>
    <w:p>
      <w:pPr>
        <w:spacing w:after="520" w:before="0" w:line="336" w:lineRule="auto"/>
        <w:jc w:val="center"/>
        <w:bidi/>
      </w:pPr>
      <w:r>
        <w:rPr>
          <w:rFonts w:ascii="Arial" w:hAnsi="Arial" w:cs="Arial"/>
          <w:b w:val="0"/>
          <w:color w:val="555555"/>
          <w:sz w:val="26"/>
          <w:rtl w:val="1"/>
        </w:rPr>
        <w:t>(نموذج استرشادي يوضّح بنية البحث والفهارس وطريقة التوثيق)</w:t>
      </w:r>
    </w:p>
    <w:p>
      <w:pPr>
        <w:spacing w:after="160" w:before="0" w:line="336" w:lineRule="auto"/>
        <w:jc w:val="center"/>
        <w:bidi/>
      </w:pPr>
      <w:r>
        <w:rPr>
          <w:rFonts w:ascii="Arial" w:hAnsi="Arial" w:cs="Arial"/>
          <w:b w:val="0"/>
          <w:sz w:val="26"/>
          <w:rtl w:val="1"/>
        </w:rPr>
        <w:t>الموضوع: أثر التعلم الإلكتروني على التحصيل الدراسي لدى طلاب الجامعة</w:t>
      </w:r>
    </w:p>
    <w:p>
      <w:pPr>
        <w:spacing w:after="800" w:before="0" w:line="336" w:lineRule="auto"/>
        <w:jc w:val="center"/>
        <w:bidi/>
      </w:pPr>
      <w:r>
        <w:rPr>
          <w:rFonts w:ascii="Arial" w:hAnsi="Arial" w:cs="Arial"/>
          <w:b w:val="0"/>
          <w:color w:val="555555"/>
          <w:sz w:val="22"/>
          <w:rtl w:val="1"/>
        </w:rPr>
        <w:t>إعداد الطالب: ....................    الرقم الجامعي: ....................    إشراف: ....................</w:t>
      </w:r>
    </w:p>
    <w:p>
      <w:pPr>
        <w:spacing w:after="120" w:before="0" w:line="336" w:lineRule="auto"/>
        <w:jc w:val="center"/>
        <w:bidi/>
      </w:pPr>
      <w:r>
        <w:rPr>
          <w:rFonts w:ascii="Arial" w:hAnsi="Arial" w:cs="Arial"/>
          <w:b w:val="0"/>
          <w:color w:val="1F618D"/>
          <w:sz w:val="20"/>
          <w:rtl w:val="1"/>
        </w:rPr>
        <w:t>إعداد وتنسيق: شركة توبرز للخدمات الطلابية — toppers-edu.com — واتساب +966549093465</w:t>
      </w:r>
    </w:p>
    <w:p>
      <w:r>
        <w:br w:type="page"/>
      </w:r>
    </w:p>
    <w:p>
      <w:pPr>
        <w:spacing w:after="80" w:before="0" w:line="336" w:lineRule="auto"/>
        <w:jc w:val="right"/>
        <w:bidi/>
      </w:pPr>
      <w:r>
        <w:rPr>
          <w:rFonts w:ascii="Arial" w:hAnsi="Arial" w:cs="Arial"/>
          <w:b/>
          <w:color w:val="1B4F72"/>
          <w:sz w:val="30"/>
          <w:rtl w:val="1"/>
        </w:rPr>
        <w:t>فهرس المحتويات</w:t>
      </w:r>
    </w:p>
    <w:p>
      <w:pPr>
        <w:spacing w:after="60" w:before="0" w:line="336" w:lineRule="auto"/>
        <w:jc w:val="right"/>
        <w:bidi/>
      </w:pPr>
      <w:r>
        <w:rPr>
          <w:rFonts w:ascii="Arial" w:hAnsi="Arial" w:cs="Arial"/>
          <w:b w:val="0"/>
          <w:sz w:val="24"/>
          <w:rtl w:val="1"/>
        </w:rPr>
        <w:t>المقدمة .......................................... 3</w:t>
      </w:r>
    </w:p>
    <w:p>
      <w:pPr>
        <w:spacing w:after="60" w:before="0" w:line="336" w:lineRule="auto"/>
        <w:jc w:val="right"/>
        <w:bidi/>
      </w:pPr>
      <w:r>
        <w:rPr>
          <w:rFonts w:ascii="Arial" w:hAnsi="Arial" w:cs="Arial"/>
          <w:b w:val="0"/>
          <w:sz w:val="24"/>
          <w:rtl w:val="1"/>
        </w:rPr>
        <w:t>الفصل الأول: مفهوم التعلم الإلكتروني .......................................... 3</w:t>
      </w:r>
    </w:p>
    <w:p>
      <w:pPr>
        <w:spacing w:after="60" w:before="0" w:line="336" w:lineRule="auto"/>
        <w:jc w:val="right"/>
        <w:bidi/>
      </w:pPr>
      <w:r>
        <w:rPr>
          <w:rFonts w:ascii="Arial" w:hAnsi="Arial" w:cs="Arial"/>
          <w:b w:val="0"/>
          <w:sz w:val="24"/>
          <w:rtl w:val="1"/>
        </w:rPr>
        <w:t>الفصل الثاني: أثر التعلم الإلكتروني على التحصيل .......................................... 4</w:t>
      </w:r>
    </w:p>
    <w:p>
      <w:pPr>
        <w:spacing w:after="60" w:before="0" w:line="336" w:lineRule="auto"/>
        <w:jc w:val="right"/>
        <w:bidi/>
      </w:pPr>
      <w:r>
        <w:rPr>
          <w:rFonts w:ascii="Arial" w:hAnsi="Arial" w:cs="Arial"/>
          <w:b w:val="0"/>
          <w:sz w:val="24"/>
          <w:rtl w:val="1"/>
        </w:rPr>
        <w:t>الخاتمة والتوصيات .......................................... 5</w:t>
      </w:r>
    </w:p>
    <w:p>
      <w:pPr>
        <w:spacing w:after="60" w:before="0" w:line="336" w:lineRule="auto"/>
        <w:jc w:val="right"/>
        <w:bidi/>
      </w:pPr>
      <w:r>
        <w:rPr>
          <w:rFonts w:ascii="Arial" w:hAnsi="Arial" w:cs="Arial"/>
          <w:b w:val="0"/>
          <w:sz w:val="24"/>
          <w:rtl w:val="1"/>
        </w:rPr>
        <w:t>المراجع .......................................... 5</w:t>
      </w:r>
    </w:p>
    <w:p>
      <w:pPr>
        <w:spacing w:after="200" w:before="0" w:line="336" w:lineRule="auto"/>
        <w:jc w:val="right"/>
        <w:bidi/>
      </w:pPr>
      <w:r>
        <w:rPr>
          <w:rFonts w:ascii="Arial" w:hAnsi="Arial" w:cs="Arial"/>
          <w:b w:val="0"/>
          <w:sz w:val="24"/>
          <w:rtl w:val="1"/>
        </w:rPr>
      </w:r>
    </w:p>
    <w:p>
      <w:pPr>
        <w:spacing w:after="80" w:before="240" w:line="336" w:lineRule="auto"/>
        <w:jc w:val="right"/>
        <w:bidi/>
      </w:pPr>
      <w:r>
        <w:rPr>
          <w:rFonts w:ascii="Arial" w:hAnsi="Arial" w:cs="Arial"/>
          <w:b/>
          <w:color w:val="1B4F72"/>
          <w:sz w:val="30"/>
          <w:rtl w:val="1"/>
        </w:rPr>
        <w:t>فهرس الجداول</w:t>
      </w:r>
    </w:p>
    <w:p>
      <w:pPr>
        <w:spacing w:after="60" w:before="0" w:line="336" w:lineRule="auto"/>
        <w:jc w:val="right"/>
        <w:bidi/>
      </w:pPr>
      <w:r>
        <w:rPr>
          <w:rFonts w:ascii="Arial" w:hAnsi="Arial" w:cs="Arial"/>
          <w:b w:val="0"/>
          <w:sz w:val="24"/>
          <w:rtl w:val="1"/>
        </w:rPr>
        <w:t>جدول (1): مقارنة بين التعليم التقليدي والتعلم الإلكتروني .......................................... 3</w:t>
      </w:r>
    </w:p>
    <w:p>
      <w:pPr>
        <w:spacing w:after="60" w:before="0" w:line="336" w:lineRule="auto"/>
        <w:jc w:val="right"/>
        <w:bidi/>
      </w:pPr>
      <w:r>
        <w:rPr>
          <w:rFonts w:ascii="Arial" w:hAnsi="Arial" w:cs="Arial"/>
          <w:b w:val="0"/>
          <w:sz w:val="24"/>
          <w:rtl w:val="1"/>
        </w:rPr>
        <w:t>جدول (2): نتائج تأثير التعلم الإلكتروني على التحصيل .......................................... 4</w:t>
      </w:r>
    </w:p>
    <w:p>
      <w:r>
        <w:br w:type="page"/>
      </w:r>
    </w:p>
    <w:p>
      <w:pPr>
        <w:spacing w:after="80" w:before="0" w:line="336" w:lineRule="auto"/>
        <w:jc w:val="right"/>
        <w:bidi/>
      </w:pPr>
      <w:r>
        <w:rPr>
          <w:rFonts w:ascii="Arial" w:hAnsi="Arial" w:cs="Arial"/>
          <w:b/>
          <w:color w:val="1B4F72"/>
          <w:sz w:val="30"/>
          <w:rtl w:val="1"/>
        </w:rPr>
        <w:t>المقدمة</w:t>
      </w:r>
    </w:p>
    <w:p>
      <w:pPr>
        <w:spacing w:after="120" w:before="0" w:line="336" w:lineRule="auto"/>
        <w:jc w:val="right"/>
        <w:bidi/>
      </w:pPr>
      <w:r>
        <w:rPr>
          <w:rFonts w:ascii="Arial" w:hAnsi="Arial" w:cs="Arial"/>
          <w:b w:val="0"/>
          <w:sz w:val="24"/>
          <w:rtl w:val="1"/>
        </w:rPr>
        <w:t>يشهد التعليم تحولًا متسارعًا نحو الأنماط الرقمية، وبات التعلم الإلكتروني أحد أبرز روافد العملية التعليمية في الجامعات. ويتناول هذا البحث أثر التعلم الإلكتروني على التحصيل الدراسي لدى طلاب الجامعة، موضحًا مفهومه وأدواته، ومحللًا جوانب تأثيره الإيجابية والسلبية، وصولًا إلى توصيات عملية. [استبدل هذه المقدمة بمقدمة موضوعك.]</w:t>
      </w:r>
    </w:p>
    <w:p>
      <w:pPr>
        <w:spacing w:after="80" w:before="240" w:line="336" w:lineRule="auto"/>
        <w:jc w:val="right"/>
        <w:bidi/>
      </w:pPr>
      <w:r>
        <w:rPr>
          <w:rFonts w:ascii="Arial" w:hAnsi="Arial" w:cs="Arial"/>
          <w:b/>
          <w:color w:val="1B4F72"/>
          <w:sz w:val="30"/>
          <w:rtl w:val="1"/>
        </w:rPr>
        <w:t>الفصل الأول: مفهوم التعلم الإلكتروني</w:t>
      </w:r>
    </w:p>
    <w:p>
      <w:pPr>
        <w:spacing w:after="120" w:before="0" w:line="336" w:lineRule="auto"/>
        <w:jc w:val="right"/>
        <w:bidi/>
      </w:pPr>
      <w:r>
        <w:rPr>
          <w:rFonts w:ascii="Arial" w:hAnsi="Arial" w:cs="Arial"/>
          <w:b w:val="0"/>
          <w:sz w:val="24"/>
          <w:rtl w:val="1"/>
        </w:rPr>
        <w:t>التعلم الإلكتروني هو توظيف التقنيات الرقمية ووسائط الإنترنت في تقديم المحتوى التعليمي وإدارة عملية التعلم، بما يتيح مرونة في الزمان والمكان. ويقوم على منصات إدارة التعلم والمحاضرات المسجّلة والتقييم الإلكتروني.</w:t>
      </w:r>
    </w:p>
    <w:p>
      <w:pPr>
        <w:spacing w:after="120" w:before="0" w:line="336" w:lineRule="auto"/>
        <w:jc w:val="right"/>
        <w:bidi/>
      </w:pPr>
      <w:r>
        <w:rPr>
          <w:rFonts w:ascii="Arial" w:hAnsi="Arial" w:cs="Arial"/>
          <w:b w:val="0"/>
          <w:sz w:val="24"/>
          <w:rtl w:val="1"/>
        </w:rPr>
        <w:t>ويوضّح الجدول التالي أبرز الفروق بينه وبين التعليم التقليدي:</w:t>
      </w:r>
    </w:p>
    <w:tbl>
      <w:tblPr>
        <w:tblStyle w:val="TableGrid"/>
        <w:tblW w:type="auto" w:w="0"/>
        <w:jc w:val="center"/>
        <w:tblLook w:firstColumn="1" w:firstRow="1" w:lastColumn="0" w:lastRow="0" w:noHBand="0" w:noVBand="1" w:val="04A0"/>
        <w:bidiVisual/>
      </w:tblPr>
      <w:tblGrid>
        <w:gridCol w:w="3211"/>
        <w:gridCol w:w="3211"/>
        <w:gridCol w:w="3211"/>
      </w:tblGrid>
      <w:tr>
        <w:tc>
          <w:tcPr>
            <w:tcW w:type="dxa" w:w="3211"/>
          </w:tcPr>
          <w:p>
            <w:pPr>
              <w:bidi/>
              <w:jc w:val="center"/>
            </w:pPr>
            <w:r>
              <w:rPr>
                <w:rFonts w:ascii="Arial" w:hAnsi="Arial" w:cs="Arial"/>
                <w:b/>
                <w:color w:val="1B4F72"/>
                <w:sz w:val="22"/>
                <w:rtl w:val="1"/>
              </w:rPr>
              <w:t>العنصر</w:t>
            </w:r>
          </w:p>
        </w:tc>
        <w:tc>
          <w:tcPr>
            <w:tcW w:type="dxa" w:w="3211"/>
          </w:tcPr>
          <w:p>
            <w:pPr>
              <w:bidi/>
              <w:jc w:val="center"/>
            </w:pPr>
            <w:r>
              <w:rPr>
                <w:rFonts w:ascii="Arial" w:hAnsi="Arial" w:cs="Arial"/>
                <w:b/>
                <w:color w:val="1B4F72"/>
                <w:sz w:val="22"/>
                <w:rtl w:val="1"/>
              </w:rPr>
              <w:t>التعليم التقليدي</w:t>
            </w:r>
          </w:p>
        </w:tc>
        <w:tc>
          <w:tcPr>
            <w:tcW w:type="dxa" w:w="3211"/>
          </w:tcPr>
          <w:p>
            <w:pPr>
              <w:bidi/>
              <w:jc w:val="center"/>
            </w:pPr>
            <w:r>
              <w:rPr>
                <w:rFonts w:ascii="Arial" w:hAnsi="Arial" w:cs="Arial"/>
                <w:b/>
                <w:color w:val="1B4F72"/>
                <w:sz w:val="22"/>
                <w:rtl w:val="1"/>
              </w:rPr>
              <w:t>التعلم الإلكتروني</w:t>
            </w:r>
          </w:p>
        </w:tc>
      </w:tr>
      <w:tr>
        <w:tc>
          <w:tcPr>
            <w:tcW w:type="dxa" w:w="3211"/>
          </w:tcPr>
          <w:p>
            <w:pPr>
              <w:bidi/>
              <w:jc w:val="center"/>
            </w:pPr>
            <w:r>
              <w:rPr>
                <w:rFonts w:ascii="Arial" w:hAnsi="Arial" w:cs="Arial"/>
                <w:b w:val="0"/>
                <w:sz w:val="22"/>
                <w:rtl w:val="1"/>
              </w:rPr>
              <w:t>المكان</w:t>
            </w:r>
          </w:p>
        </w:tc>
        <w:tc>
          <w:tcPr>
            <w:tcW w:type="dxa" w:w="3211"/>
          </w:tcPr>
          <w:p>
            <w:pPr>
              <w:bidi/>
              <w:jc w:val="center"/>
            </w:pPr>
            <w:r>
              <w:rPr>
                <w:rFonts w:ascii="Arial" w:hAnsi="Arial" w:cs="Arial"/>
                <w:b w:val="0"/>
                <w:sz w:val="22"/>
                <w:rtl w:val="1"/>
              </w:rPr>
              <w:t>قاعة محددة</w:t>
            </w:r>
          </w:p>
        </w:tc>
        <w:tc>
          <w:tcPr>
            <w:tcW w:type="dxa" w:w="3211"/>
          </w:tcPr>
          <w:p>
            <w:pPr>
              <w:bidi/>
              <w:jc w:val="center"/>
            </w:pPr>
            <w:r>
              <w:rPr>
                <w:rFonts w:ascii="Arial" w:hAnsi="Arial" w:cs="Arial"/>
                <w:b w:val="0"/>
                <w:sz w:val="22"/>
                <w:rtl w:val="1"/>
              </w:rPr>
              <w:t>أي مكان عبر الإنترنت</w:t>
            </w:r>
          </w:p>
        </w:tc>
      </w:tr>
      <w:tr>
        <w:tc>
          <w:tcPr>
            <w:tcW w:type="dxa" w:w="3211"/>
          </w:tcPr>
          <w:p>
            <w:pPr>
              <w:bidi/>
              <w:jc w:val="center"/>
            </w:pPr>
            <w:r>
              <w:rPr>
                <w:rFonts w:ascii="Arial" w:hAnsi="Arial" w:cs="Arial"/>
                <w:b w:val="0"/>
                <w:sz w:val="22"/>
                <w:rtl w:val="1"/>
              </w:rPr>
              <w:t>المرونة</w:t>
            </w:r>
          </w:p>
        </w:tc>
        <w:tc>
          <w:tcPr>
            <w:tcW w:type="dxa" w:w="3211"/>
          </w:tcPr>
          <w:p>
            <w:pPr>
              <w:bidi/>
              <w:jc w:val="center"/>
            </w:pPr>
            <w:r>
              <w:rPr>
                <w:rFonts w:ascii="Arial" w:hAnsi="Arial" w:cs="Arial"/>
                <w:b w:val="0"/>
                <w:sz w:val="22"/>
                <w:rtl w:val="1"/>
              </w:rPr>
              <w:t>منخفضة</w:t>
            </w:r>
          </w:p>
        </w:tc>
        <w:tc>
          <w:tcPr>
            <w:tcW w:type="dxa" w:w="3211"/>
          </w:tcPr>
          <w:p>
            <w:pPr>
              <w:bidi/>
              <w:jc w:val="center"/>
            </w:pPr>
            <w:r>
              <w:rPr>
                <w:rFonts w:ascii="Arial" w:hAnsi="Arial" w:cs="Arial"/>
                <w:b w:val="0"/>
                <w:sz w:val="22"/>
                <w:rtl w:val="1"/>
              </w:rPr>
              <w:t>عالية</w:t>
            </w:r>
          </w:p>
        </w:tc>
      </w:tr>
      <w:tr>
        <w:tc>
          <w:tcPr>
            <w:tcW w:type="dxa" w:w="3211"/>
          </w:tcPr>
          <w:p>
            <w:pPr>
              <w:bidi/>
              <w:jc w:val="center"/>
            </w:pPr>
            <w:r>
              <w:rPr>
                <w:rFonts w:ascii="Arial" w:hAnsi="Arial" w:cs="Arial"/>
                <w:b w:val="0"/>
                <w:sz w:val="22"/>
                <w:rtl w:val="1"/>
              </w:rPr>
              <w:t>التكلفة</w:t>
            </w:r>
          </w:p>
        </w:tc>
        <w:tc>
          <w:tcPr>
            <w:tcW w:type="dxa" w:w="3211"/>
          </w:tcPr>
          <w:p>
            <w:pPr>
              <w:bidi/>
              <w:jc w:val="center"/>
            </w:pPr>
            <w:r>
              <w:rPr>
                <w:rFonts w:ascii="Arial" w:hAnsi="Arial" w:cs="Arial"/>
                <w:b w:val="0"/>
                <w:sz w:val="22"/>
                <w:rtl w:val="1"/>
              </w:rPr>
              <w:t>أعلى غالبًا</w:t>
            </w:r>
          </w:p>
        </w:tc>
        <w:tc>
          <w:tcPr>
            <w:tcW w:type="dxa" w:w="3211"/>
          </w:tcPr>
          <w:p>
            <w:pPr>
              <w:bidi/>
              <w:jc w:val="center"/>
            </w:pPr>
            <w:r>
              <w:rPr>
                <w:rFonts w:ascii="Arial" w:hAnsi="Arial" w:cs="Arial"/>
                <w:b w:val="0"/>
                <w:sz w:val="22"/>
                <w:rtl w:val="1"/>
              </w:rPr>
              <w:t>أقل غالبًا</w:t>
            </w:r>
          </w:p>
        </w:tc>
      </w:tr>
      <w:tr>
        <w:tc>
          <w:tcPr>
            <w:tcW w:type="dxa" w:w="3211"/>
          </w:tcPr>
          <w:p>
            <w:pPr>
              <w:bidi/>
              <w:jc w:val="center"/>
            </w:pPr>
            <w:r>
              <w:rPr>
                <w:rFonts w:ascii="Arial" w:hAnsi="Arial" w:cs="Arial"/>
                <w:b w:val="0"/>
                <w:sz w:val="22"/>
                <w:rtl w:val="1"/>
              </w:rPr>
              <w:t>التفاعل المباشر</w:t>
            </w:r>
          </w:p>
        </w:tc>
        <w:tc>
          <w:tcPr>
            <w:tcW w:type="dxa" w:w="3211"/>
          </w:tcPr>
          <w:p>
            <w:pPr>
              <w:bidi/>
              <w:jc w:val="center"/>
            </w:pPr>
            <w:r>
              <w:rPr>
                <w:rFonts w:ascii="Arial" w:hAnsi="Arial" w:cs="Arial"/>
                <w:b w:val="0"/>
                <w:sz w:val="22"/>
                <w:rtl w:val="1"/>
              </w:rPr>
              <w:t>مرتفع</w:t>
            </w:r>
          </w:p>
        </w:tc>
        <w:tc>
          <w:tcPr>
            <w:tcW w:type="dxa" w:w="3211"/>
          </w:tcPr>
          <w:p>
            <w:pPr>
              <w:bidi/>
              <w:jc w:val="center"/>
            </w:pPr>
            <w:r>
              <w:rPr>
                <w:rFonts w:ascii="Arial" w:hAnsi="Arial" w:cs="Arial"/>
                <w:b w:val="0"/>
                <w:sz w:val="22"/>
                <w:rtl w:val="1"/>
              </w:rPr>
              <w:t>يعتمد على الأدوات</w:t>
            </w:r>
          </w:p>
        </w:tc>
      </w:tr>
    </w:tbl>
    <w:p>
      <w:pPr>
        <w:spacing w:after="120" w:before="0" w:line="336" w:lineRule="auto"/>
        <w:jc w:val="right"/>
        <w:bidi/>
      </w:pPr>
      <w:r>
        <w:rPr>
          <w:rFonts w:ascii="Arial" w:hAnsi="Arial" w:cs="Arial"/>
          <w:b w:val="0"/>
          <w:sz w:val="24"/>
          <w:rtl w:val="1"/>
        </w:rPr>
      </w:r>
    </w:p>
    <w:p>
      <w:pPr>
        <w:spacing w:after="80" w:before="240" w:line="336" w:lineRule="auto"/>
        <w:jc w:val="right"/>
        <w:bidi/>
      </w:pPr>
      <w:r>
        <w:rPr>
          <w:rFonts w:ascii="Arial" w:hAnsi="Arial" w:cs="Arial"/>
          <w:b/>
          <w:color w:val="1B4F72"/>
          <w:sz w:val="30"/>
          <w:rtl w:val="1"/>
        </w:rPr>
        <w:t>الفصل الثاني: أثر التعلم الإلكتروني على التحصيل</w:t>
      </w:r>
    </w:p>
    <w:p>
      <w:pPr>
        <w:spacing w:after="120" w:before="0" w:line="336" w:lineRule="auto"/>
        <w:jc w:val="right"/>
        <w:bidi/>
      </w:pPr>
      <w:r>
        <w:rPr>
          <w:rFonts w:ascii="Arial" w:hAnsi="Arial" w:cs="Arial"/>
          <w:b w:val="0"/>
          <w:sz w:val="24"/>
          <w:rtl w:val="1"/>
        </w:rPr>
        <w:t>تشير الدراسات إلى أن أثر التعلم الإلكتروني على التحصيل يتوقف على جودة التصميم التعليمي ومدى انضباط الطالب. فالاستخدام المنظّم يرفع التحصيل، بينما يضعفه غياب التفاعل وضعف البنية التقنية. ويلخّص الجدول التالي نتائج افتراضية توضيحية:</w:t>
      </w:r>
    </w:p>
    <w:tbl>
      <w:tblPr>
        <w:tblStyle w:val="TableGrid"/>
        <w:tblW w:type="auto" w:w="0"/>
        <w:jc w:val="center"/>
        <w:tblLook w:firstColumn="1" w:firstRow="1" w:lastColumn="0" w:lastRow="0" w:noHBand="0" w:noVBand="1" w:val="04A0"/>
        <w:bidiVisual/>
      </w:tblPr>
      <w:tblGrid>
        <w:gridCol w:w="3211"/>
        <w:gridCol w:w="3211"/>
        <w:gridCol w:w="3211"/>
      </w:tblGrid>
      <w:tr>
        <w:tc>
          <w:tcPr>
            <w:tcW w:type="dxa" w:w="3211"/>
          </w:tcPr>
          <w:p>
            <w:pPr>
              <w:bidi/>
              <w:jc w:val="center"/>
            </w:pPr>
            <w:r>
              <w:rPr>
                <w:rFonts w:ascii="Arial" w:hAnsi="Arial" w:cs="Arial"/>
                <w:b/>
                <w:color w:val="1B4F72"/>
                <w:sz w:val="22"/>
                <w:rtl w:val="1"/>
              </w:rPr>
              <w:t>المتغير</w:t>
            </w:r>
          </w:p>
        </w:tc>
        <w:tc>
          <w:tcPr>
            <w:tcW w:type="dxa" w:w="3211"/>
          </w:tcPr>
          <w:p>
            <w:pPr>
              <w:bidi/>
              <w:jc w:val="center"/>
            </w:pPr>
            <w:r>
              <w:rPr>
                <w:rFonts w:ascii="Arial" w:hAnsi="Arial" w:cs="Arial"/>
                <w:b/>
                <w:color w:val="1B4F72"/>
                <w:sz w:val="22"/>
                <w:rtl w:val="1"/>
              </w:rPr>
              <w:t>مجموعة التعلم الإلكتروني</w:t>
            </w:r>
          </w:p>
        </w:tc>
        <w:tc>
          <w:tcPr>
            <w:tcW w:type="dxa" w:w="3211"/>
          </w:tcPr>
          <w:p>
            <w:pPr>
              <w:bidi/>
              <w:jc w:val="center"/>
            </w:pPr>
            <w:r>
              <w:rPr>
                <w:rFonts w:ascii="Arial" w:hAnsi="Arial" w:cs="Arial"/>
                <w:b/>
                <w:color w:val="1B4F72"/>
                <w:sz w:val="22"/>
                <w:rtl w:val="1"/>
              </w:rPr>
              <w:t>المجموعة التقليدية</w:t>
            </w:r>
          </w:p>
        </w:tc>
      </w:tr>
      <w:tr>
        <w:tc>
          <w:tcPr>
            <w:tcW w:type="dxa" w:w="3211"/>
          </w:tcPr>
          <w:p>
            <w:pPr>
              <w:bidi/>
              <w:jc w:val="center"/>
            </w:pPr>
            <w:r>
              <w:rPr>
                <w:rFonts w:ascii="Arial" w:hAnsi="Arial" w:cs="Arial"/>
                <w:b w:val="0"/>
                <w:sz w:val="22"/>
                <w:rtl w:val="1"/>
              </w:rPr>
              <w:t>متوسط الدرجات</w:t>
            </w:r>
          </w:p>
        </w:tc>
        <w:tc>
          <w:tcPr>
            <w:tcW w:type="dxa" w:w="3211"/>
          </w:tcPr>
          <w:p>
            <w:pPr>
              <w:bidi/>
              <w:jc w:val="center"/>
            </w:pPr>
            <w:r>
              <w:rPr>
                <w:rFonts w:ascii="Arial" w:hAnsi="Arial" w:cs="Arial"/>
                <w:b w:val="0"/>
                <w:sz w:val="22"/>
                <w:rtl w:val="1"/>
              </w:rPr>
              <w:t>84%</w:t>
            </w:r>
          </w:p>
        </w:tc>
        <w:tc>
          <w:tcPr>
            <w:tcW w:type="dxa" w:w="3211"/>
          </w:tcPr>
          <w:p>
            <w:pPr>
              <w:bidi/>
              <w:jc w:val="center"/>
            </w:pPr>
            <w:r>
              <w:rPr>
                <w:rFonts w:ascii="Arial" w:hAnsi="Arial" w:cs="Arial"/>
                <w:b w:val="0"/>
                <w:sz w:val="22"/>
                <w:rtl w:val="1"/>
              </w:rPr>
              <w:t>78%</w:t>
            </w:r>
          </w:p>
        </w:tc>
      </w:tr>
      <w:tr>
        <w:tc>
          <w:tcPr>
            <w:tcW w:type="dxa" w:w="3211"/>
          </w:tcPr>
          <w:p>
            <w:pPr>
              <w:bidi/>
              <w:jc w:val="center"/>
            </w:pPr>
            <w:r>
              <w:rPr>
                <w:rFonts w:ascii="Arial" w:hAnsi="Arial" w:cs="Arial"/>
                <w:b w:val="0"/>
                <w:sz w:val="22"/>
                <w:rtl w:val="1"/>
              </w:rPr>
              <w:t>نسبة الحضور</w:t>
            </w:r>
          </w:p>
        </w:tc>
        <w:tc>
          <w:tcPr>
            <w:tcW w:type="dxa" w:w="3211"/>
          </w:tcPr>
          <w:p>
            <w:pPr>
              <w:bidi/>
              <w:jc w:val="center"/>
            </w:pPr>
            <w:r>
              <w:rPr>
                <w:rFonts w:ascii="Arial" w:hAnsi="Arial" w:cs="Arial"/>
                <w:b w:val="0"/>
                <w:sz w:val="22"/>
                <w:rtl w:val="1"/>
              </w:rPr>
              <w:t>91%</w:t>
            </w:r>
          </w:p>
        </w:tc>
        <w:tc>
          <w:tcPr>
            <w:tcW w:type="dxa" w:w="3211"/>
          </w:tcPr>
          <w:p>
            <w:pPr>
              <w:bidi/>
              <w:jc w:val="center"/>
            </w:pPr>
            <w:r>
              <w:rPr>
                <w:rFonts w:ascii="Arial" w:hAnsi="Arial" w:cs="Arial"/>
                <w:b w:val="0"/>
                <w:sz w:val="22"/>
                <w:rtl w:val="1"/>
              </w:rPr>
              <w:t>85%</w:t>
            </w:r>
          </w:p>
        </w:tc>
      </w:tr>
      <w:tr>
        <w:tc>
          <w:tcPr>
            <w:tcW w:type="dxa" w:w="3211"/>
          </w:tcPr>
          <w:p>
            <w:pPr>
              <w:bidi/>
              <w:jc w:val="center"/>
            </w:pPr>
            <w:r>
              <w:rPr>
                <w:rFonts w:ascii="Arial" w:hAnsi="Arial" w:cs="Arial"/>
                <w:b w:val="0"/>
                <w:sz w:val="22"/>
                <w:rtl w:val="1"/>
              </w:rPr>
              <w:t>رضا الطلاب</w:t>
            </w:r>
          </w:p>
        </w:tc>
        <w:tc>
          <w:tcPr>
            <w:tcW w:type="dxa" w:w="3211"/>
          </w:tcPr>
          <w:p>
            <w:pPr>
              <w:bidi/>
              <w:jc w:val="center"/>
            </w:pPr>
            <w:r>
              <w:rPr>
                <w:rFonts w:ascii="Arial" w:hAnsi="Arial" w:cs="Arial"/>
                <w:b w:val="0"/>
                <w:sz w:val="22"/>
                <w:rtl w:val="1"/>
              </w:rPr>
              <w:t>88%</w:t>
            </w:r>
          </w:p>
        </w:tc>
        <w:tc>
          <w:tcPr>
            <w:tcW w:type="dxa" w:w="3211"/>
          </w:tcPr>
          <w:p>
            <w:pPr>
              <w:bidi/>
              <w:jc w:val="center"/>
            </w:pPr>
            <w:r>
              <w:rPr>
                <w:rFonts w:ascii="Arial" w:hAnsi="Arial" w:cs="Arial"/>
                <w:b w:val="0"/>
                <w:sz w:val="22"/>
                <w:rtl w:val="1"/>
              </w:rPr>
              <w:t>80%</w:t>
            </w:r>
          </w:p>
        </w:tc>
      </w:tr>
    </w:tbl>
    <w:p>
      <w:pPr>
        <w:spacing w:after="120" w:before="0" w:line="336" w:lineRule="auto"/>
        <w:jc w:val="right"/>
        <w:bidi/>
      </w:pPr>
      <w:r>
        <w:rPr>
          <w:rFonts w:ascii="Arial" w:hAnsi="Arial" w:cs="Arial"/>
          <w:b w:val="0"/>
          <w:sz w:val="24"/>
          <w:rtl w:val="1"/>
        </w:rPr>
      </w:r>
    </w:p>
    <w:p>
      <w:pPr>
        <w:spacing w:after="120" w:before="0" w:line="336" w:lineRule="auto"/>
        <w:jc w:val="right"/>
        <w:bidi/>
      </w:pPr>
      <w:r>
        <w:rPr>
          <w:rFonts w:ascii="Arial" w:hAnsi="Arial" w:cs="Arial"/>
          <w:b w:val="0"/>
          <w:sz w:val="24"/>
          <w:rtl w:val="1"/>
        </w:rPr>
        <w:t>يتبيّن من الجدول تفوّق مجموعة التعلم الإلكتروني عند توافر تصميم جيد ودعم تقني مناسب. [أدرج بياناتك الحقيقية ومناقشتها.]</w:t>
      </w:r>
    </w:p>
    <w:p>
      <w:pPr>
        <w:spacing w:after="80" w:before="240" w:line="336" w:lineRule="auto"/>
        <w:jc w:val="right"/>
        <w:bidi/>
      </w:pPr>
      <w:r>
        <w:rPr>
          <w:rFonts w:ascii="Arial" w:hAnsi="Arial" w:cs="Arial"/>
          <w:b/>
          <w:color w:val="1B4F72"/>
          <w:sz w:val="30"/>
          <w:rtl w:val="1"/>
        </w:rPr>
        <w:t>الخاتمة والتوصيات</w:t>
      </w:r>
    </w:p>
    <w:p>
      <w:pPr>
        <w:spacing w:after="120" w:before="0" w:line="336" w:lineRule="auto"/>
        <w:jc w:val="right"/>
        <w:bidi/>
      </w:pPr>
      <w:r>
        <w:rPr>
          <w:rFonts w:ascii="Arial" w:hAnsi="Arial" w:cs="Arial"/>
          <w:b w:val="0"/>
          <w:sz w:val="24"/>
          <w:rtl w:val="1"/>
        </w:rPr>
        <w:t>خلص البحث إلى أن أثر التعلم الإلكتروني رهنٌ بجودة تطبيقه؛ فهو أداة فعّالة لرفع التحصيل متى صُمّم بعناية ودُعم تقنيًا. ويوصي البحث بتطوير المنصات، وتدريب الطلاب والأساتذة، والدمج بين النمطين (التعلم المدمج).</w:t>
      </w:r>
    </w:p>
    <w:p>
      <w:pPr>
        <w:spacing w:after="80" w:before="240" w:line="336" w:lineRule="auto"/>
        <w:jc w:val="right"/>
        <w:bidi/>
      </w:pPr>
      <w:r>
        <w:rPr>
          <w:rFonts w:ascii="Arial" w:hAnsi="Arial" w:cs="Arial"/>
          <w:b/>
          <w:color w:val="1B4F72"/>
          <w:sz w:val="30"/>
          <w:rtl w:val="1"/>
        </w:rPr>
        <w:t>المراجع</w:t>
      </w:r>
    </w:p>
    <w:p>
      <w:pPr>
        <w:spacing w:after="120" w:before="0" w:line="336" w:lineRule="auto"/>
        <w:jc w:val="right"/>
        <w:bidi/>
      </w:pPr>
      <w:r>
        <w:rPr>
          <w:rFonts w:ascii="Arial" w:hAnsi="Arial" w:cs="Arial"/>
          <w:b w:val="0"/>
          <w:sz w:val="22"/>
          <w:rtl w:val="1"/>
        </w:rPr>
        <w:t>العتيبي، محمد. (2022). التعلم الإلكتروني في التعليم الجامعي. الرياض: دار النشر العلمي.</w:t>
      </w:r>
    </w:p>
    <w:p>
      <w:pPr>
        <w:spacing w:after="120" w:before="0" w:line="336" w:lineRule="auto"/>
        <w:jc w:val="right"/>
        <w:bidi/>
      </w:pPr>
      <w:r>
        <w:rPr>
          <w:rFonts w:ascii="Arial" w:hAnsi="Arial" w:cs="Arial"/>
          <w:b w:val="0"/>
          <w:sz w:val="22"/>
          <w:rtl w:val="1"/>
        </w:rPr>
        <w:t>الزهراني، سارة. (2021). أثر المنصات الرقمية على التحصيل الدراسي. مجلة التربية، 15(2)، 45-67.</w:t>
      </w:r>
    </w:p>
    <w:p>
      <w:pPr>
        <w:spacing w:after="120" w:before="0" w:line="336" w:lineRule="auto"/>
        <w:jc w:val="right"/>
        <w:bidi/>
      </w:pPr>
      <w:r>
        <w:rPr>
          <w:rFonts w:ascii="Arial" w:hAnsi="Arial" w:cs="Arial"/>
          <w:b w:val="0"/>
          <w:sz w:val="22"/>
          <w:rtl w:val="1"/>
        </w:rPr>
        <w:t>القحطاني، فهد. (2020). التعليم المدمج: المفهوم والتطبيق. مجلة تقنيات التعليم، 8(1)، 12-30.</w:t>
      </w:r>
    </w:p>
    <w:p>
      <w:pPr>
        <w:spacing w:after="120" w:before="0" w:line="336" w:lineRule="auto"/>
        <w:jc w:val="right"/>
        <w:bidi/>
      </w:pPr>
      <w:r>
        <w:rPr>
          <w:rFonts w:ascii="Arial" w:hAnsi="Arial" w:cs="Arial"/>
          <w:b w:val="0"/>
          <w:color w:val="555555"/>
          <w:sz w:val="20"/>
          <w:rtl w:val="1"/>
        </w:rPr>
        <w:t>[رتّب المراجع أبجديًا بطريقة APA، ووثّق كل اقتباس داخل النص هكذا: (المؤلف، السنة، الصفحة).]</w:t>
      </w:r>
    </w:p>
    <w:sectPr w:rsidR="00FC693F" w:rsidRPr="0006063C" w:rsidSect="00034616">
      <w:pgSz w:w="12240" w:h="15840"/>
      <w:pgMar w:top="1247" w:right="1304" w:bottom="1247" w:left="130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