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160" w:line="324" w:lineRule="auto"/>
        <w:jc w:val="center"/>
        <w:bidi/>
      </w:pPr>
      <w:r>
        <w:rPr>
          <w:rFonts w:ascii="Arial" w:hAnsi="Arial" w:cs="Arial"/>
          <w:b/>
          <w:color w:val="1B4F72"/>
          <w:sz w:val="38"/>
          <w:rtl w:val="1"/>
        </w:rPr>
        <w:t>دليل رسائل ماجستير عن القلق</w:t>
      </w:r>
    </w:p>
    <w:p>
      <w:pPr>
        <w:spacing w:after="40" w:before="0" w:line="324" w:lineRule="auto"/>
        <w:jc w:val="center"/>
        <w:bidi/>
      </w:pPr>
      <w:r>
        <w:rPr>
          <w:rFonts w:ascii="Arial" w:hAnsi="Arial" w:cs="Arial"/>
          <w:b w:val="0"/>
          <w:color w:val="555555"/>
          <w:sz w:val="24"/>
          <w:rtl w:val="1"/>
        </w:rPr>
        <w:t>عناوين مقترحة + هيكل الرسالة + مصادر التحميل</w:t>
      </w:r>
    </w:p>
    <w:p>
      <w:pPr>
        <w:spacing w:after="280" w:before="0" w:line="324" w:lineRule="auto"/>
        <w:jc w:val="center"/>
        <w:bidi/>
      </w:pPr>
      <w:r>
        <w:rPr>
          <w:rFonts w:ascii="Arial" w:hAnsi="Arial" w:cs="Arial"/>
          <w:b w:val="0"/>
          <w:color w:val="1F618D"/>
          <w:sz w:val="20"/>
          <w:rtl w:val="1"/>
        </w:rPr>
        <w:t>إعداد: شركة توبرز للخدمات الطلابية — toppers-edu.com — واتساب +966549093465</w:t>
      </w:r>
    </w:p>
    <w:p>
      <w:pPr>
        <w:spacing w:after="80" w:before="200" w:line="324" w:lineRule="auto"/>
        <w:jc w:val="right"/>
        <w:bidi/>
      </w:pPr>
      <w:r>
        <w:rPr>
          <w:rFonts w:ascii="Arial" w:hAnsi="Arial" w:cs="Arial"/>
          <w:b/>
          <w:color w:val="1F618D"/>
          <w:sz w:val="28"/>
          <w:rtl w:val="1"/>
        </w:rPr>
        <w:t>عناوين مقترحة لرسالتك</w:t>
      </w:r>
    </w:p>
    <w:p>
      <w:pPr>
        <w:pStyle w:val="ListBullet"/>
        <w:spacing w:after="60" w:before="0" w:line="324" w:lineRule="auto"/>
        <w:jc w:val="right"/>
        <w:bidi/>
      </w:pPr>
      <w:r>
        <w:rPr>
          <w:rFonts w:ascii="Arial" w:hAnsi="Arial" w:cs="Arial"/>
          <w:b w:val="0"/>
          <w:sz w:val="24"/>
          <w:rtl w:val="1"/>
        </w:rPr>
        <w:t>قلق الاختبار وعلاقته بالتحصيل الدراسي لدى طلاب المرحلة الثانوية.</w:t>
      </w:r>
    </w:p>
    <w:p>
      <w:pPr>
        <w:pStyle w:val="ListBullet"/>
        <w:spacing w:after="60" w:before="0" w:line="324" w:lineRule="auto"/>
        <w:jc w:val="right"/>
        <w:bidi/>
      </w:pPr>
      <w:r>
        <w:rPr>
          <w:rFonts w:ascii="Arial" w:hAnsi="Arial" w:cs="Arial"/>
          <w:b w:val="0"/>
          <w:sz w:val="24"/>
          <w:rtl w:val="1"/>
        </w:rPr>
        <w:t>فاعلية برنامج معرفي سلوكي في خفض القلق الاجتماعي.</w:t>
      </w:r>
    </w:p>
    <w:p>
      <w:pPr>
        <w:pStyle w:val="ListBullet"/>
        <w:spacing w:after="60" w:before="0" w:line="324" w:lineRule="auto"/>
        <w:jc w:val="right"/>
        <w:bidi/>
      </w:pPr>
      <w:r>
        <w:rPr>
          <w:rFonts w:ascii="Arial" w:hAnsi="Arial" w:cs="Arial"/>
          <w:b w:val="0"/>
          <w:sz w:val="24"/>
          <w:rtl w:val="1"/>
        </w:rPr>
        <w:t>القلق وعلاقته بتقدير الذات لدى طلاب الجامعة.</w:t>
      </w:r>
    </w:p>
    <w:p>
      <w:pPr>
        <w:pStyle w:val="ListBullet"/>
        <w:spacing w:after="60" w:before="0" w:line="324" w:lineRule="auto"/>
        <w:jc w:val="right"/>
        <w:bidi/>
      </w:pPr>
      <w:r>
        <w:rPr>
          <w:rFonts w:ascii="Arial" w:hAnsi="Arial" w:cs="Arial"/>
          <w:b w:val="0"/>
          <w:sz w:val="24"/>
          <w:rtl w:val="1"/>
        </w:rPr>
        <w:t>قلق المستقبل المهني لدى طلاب السنة النهائية.</w:t>
      </w:r>
    </w:p>
    <w:p>
      <w:pPr>
        <w:pStyle w:val="ListBullet"/>
        <w:spacing w:after="60" w:before="0" w:line="324" w:lineRule="auto"/>
        <w:jc w:val="right"/>
        <w:bidi/>
      </w:pPr>
      <w:r>
        <w:rPr>
          <w:rFonts w:ascii="Arial" w:hAnsi="Arial" w:cs="Arial"/>
          <w:b w:val="0"/>
          <w:sz w:val="24"/>
          <w:rtl w:val="1"/>
        </w:rPr>
        <w:t>القلق وعلاقته بالتوافق النفسي لدى الشباب.</w:t>
      </w:r>
    </w:p>
    <w:p>
      <w:pPr>
        <w:spacing w:after="80" w:before="200" w:line="324" w:lineRule="auto"/>
        <w:jc w:val="right"/>
        <w:bidi/>
      </w:pPr>
      <w:r>
        <w:rPr>
          <w:rFonts w:ascii="Arial" w:hAnsi="Arial" w:cs="Arial"/>
          <w:b/>
          <w:color w:val="1F618D"/>
          <w:sz w:val="28"/>
          <w:rtl w:val="1"/>
        </w:rPr>
        <w:t>أمثلة من دراسات منشورة (للاسترشاد)</w:t>
      </w:r>
    </w:p>
    <w:p>
      <w:pPr>
        <w:pStyle w:val="ListBullet"/>
        <w:spacing w:after="60" w:before="0" w:line="324" w:lineRule="auto"/>
        <w:jc w:val="right"/>
        <w:bidi/>
      </w:pPr>
      <w:r>
        <w:rPr>
          <w:rFonts w:ascii="Arial" w:hAnsi="Arial" w:cs="Arial"/>
          <w:b w:val="0"/>
          <w:sz w:val="24"/>
          <w:rtl w:val="1"/>
        </w:rPr>
        <w:t>برنامج علاجي لخفض القلق لدى عينة من الطلاب.</w:t>
      </w:r>
    </w:p>
    <w:p>
      <w:pPr>
        <w:pStyle w:val="ListBullet"/>
        <w:spacing w:after="60" w:before="0" w:line="324" w:lineRule="auto"/>
        <w:jc w:val="right"/>
        <w:bidi/>
      </w:pPr>
      <w:r>
        <w:rPr>
          <w:rFonts w:ascii="Arial" w:hAnsi="Arial" w:cs="Arial"/>
          <w:b w:val="0"/>
          <w:sz w:val="24"/>
          <w:rtl w:val="1"/>
        </w:rPr>
        <w:t>العلاقة بين قلق الاختبار والتحصيل الدراسي لدى الطلبة.</w:t>
      </w:r>
    </w:p>
    <w:p>
      <w:pPr>
        <w:pStyle w:val="ListBullet"/>
        <w:spacing w:after="60" w:before="0" w:line="324" w:lineRule="auto"/>
        <w:jc w:val="right"/>
        <w:bidi/>
      </w:pPr>
      <w:r>
        <w:rPr>
          <w:rFonts w:ascii="Arial" w:hAnsi="Arial" w:cs="Arial"/>
          <w:b w:val="0"/>
          <w:sz w:val="24"/>
          <w:rtl w:val="1"/>
        </w:rPr>
        <w:t>التدخين وعلاقته بمستوى القلق وسمات الشخصية.</w:t>
      </w:r>
    </w:p>
    <w:p>
      <w:pPr>
        <w:pStyle w:val="ListBullet"/>
        <w:spacing w:after="60" w:before="0" w:line="324" w:lineRule="auto"/>
        <w:jc w:val="right"/>
        <w:bidi/>
      </w:pPr>
      <w:r>
        <w:rPr>
          <w:rFonts w:ascii="Arial" w:hAnsi="Arial" w:cs="Arial"/>
          <w:b w:val="0"/>
          <w:sz w:val="24"/>
          <w:rtl w:val="1"/>
        </w:rPr>
        <w:t>القلق والاكتئاب لدى عينة: دراسة ميدانية.</w:t>
      </w:r>
    </w:p>
    <w:p>
      <w:pPr>
        <w:spacing w:after="80" w:before="200" w:line="324" w:lineRule="auto"/>
        <w:jc w:val="right"/>
        <w:bidi/>
      </w:pPr>
      <w:r>
        <w:rPr>
          <w:rFonts w:ascii="Arial" w:hAnsi="Arial" w:cs="Arial"/>
          <w:b/>
          <w:color w:val="1F618D"/>
          <w:sz w:val="28"/>
          <w:rtl w:val="1"/>
        </w:rPr>
        <w:t>الهيكل التنظيمي للرسالة</w:t>
      </w:r>
    </w:p>
    <w:p>
      <w:pPr>
        <w:pStyle w:val="ListBullet"/>
        <w:spacing w:after="60" w:before="0" w:line="324" w:lineRule="auto"/>
        <w:jc w:val="right"/>
        <w:bidi/>
      </w:pPr>
      <w:r>
        <w:rPr>
          <w:rFonts w:ascii="Arial" w:hAnsi="Arial" w:cs="Arial"/>
          <w:b w:val="0"/>
          <w:sz w:val="24"/>
          <w:rtl w:val="1"/>
        </w:rPr>
        <w:t>الفصل الأول: الإطار العام (المشكلة، الأهداف، الأهمية، المصطلحات).</w:t>
      </w:r>
    </w:p>
    <w:p>
      <w:pPr>
        <w:pStyle w:val="ListBullet"/>
        <w:spacing w:after="60" w:before="0" w:line="324" w:lineRule="auto"/>
        <w:jc w:val="right"/>
        <w:bidi/>
      </w:pPr>
      <w:r>
        <w:rPr>
          <w:rFonts w:ascii="Arial" w:hAnsi="Arial" w:cs="Arial"/>
          <w:b w:val="0"/>
          <w:sz w:val="24"/>
          <w:rtl w:val="1"/>
        </w:rPr>
        <w:t>الفصل الثاني: الإطار النظري والدراسات السابقة وتحديد الفجوة البحثية.</w:t>
      </w:r>
    </w:p>
    <w:p>
      <w:pPr>
        <w:pStyle w:val="ListBullet"/>
        <w:spacing w:after="60" w:before="0" w:line="324" w:lineRule="auto"/>
        <w:jc w:val="right"/>
        <w:bidi/>
      </w:pPr>
      <w:r>
        <w:rPr>
          <w:rFonts w:ascii="Arial" w:hAnsi="Arial" w:cs="Arial"/>
          <w:b w:val="0"/>
          <w:sz w:val="24"/>
          <w:rtl w:val="1"/>
        </w:rPr>
        <w:t>الفصل الثالث: منهج الدراسة وأدواتها وتحليل البيانات.</w:t>
      </w:r>
    </w:p>
    <w:p>
      <w:pPr>
        <w:pStyle w:val="ListBullet"/>
        <w:spacing w:after="60" w:before="0" w:line="324" w:lineRule="auto"/>
        <w:jc w:val="right"/>
        <w:bidi/>
      </w:pPr>
      <w:r>
        <w:rPr>
          <w:rFonts w:ascii="Arial" w:hAnsi="Arial" w:cs="Arial"/>
          <w:b w:val="0"/>
          <w:sz w:val="24"/>
          <w:rtl w:val="1"/>
        </w:rPr>
        <w:t>الفصل الرابع: النتائج والمناقشة والتوصيات.</w:t>
      </w:r>
    </w:p>
    <w:p>
      <w:pPr>
        <w:pStyle w:val="ListBullet"/>
        <w:spacing w:after="60" w:before="0" w:line="324" w:lineRule="auto"/>
        <w:jc w:val="right"/>
        <w:bidi/>
      </w:pPr>
      <w:r>
        <w:rPr>
          <w:rFonts w:ascii="Arial" w:hAnsi="Arial" w:cs="Arial"/>
          <w:b w:val="0"/>
          <w:sz w:val="24"/>
          <w:rtl w:val="1"/>
        </w:rPr>
        <w:t>قائمة المراجع (بطريقة APA) والملاحق.</w:t>
      </w:r>
    </w:p>
    <w:p>
      <w:pPr>
        <w:spacing w:after="80" w:before="200" w:line="324" w:lineRule="auto"/>
        <w:jc w:val="right"/>
        <w:bidi/>
      </w:pPr>
      <w:r>
        <w:rPr>
          <w:rFonts w:ascii="Arial" w:hAnsi="Arial" w:cs="Arial"/>
          <w:b/>
          <w:color w:val="1F618D"/>
          <w:sz w:val="28"/>
          <w:rtl w:val="1"/>
        </w:rPr>
        <w:t>خطوات مختصرة للإعداد</w:t>
      </w:r>
    </w:p>
    <w:p>
      <w:pPr>
        <w:spacing w:after="60" w:before="0" w:line="324" w:lineRule="auto"/>
        <w:jc w:val="right"/>
        <w:bidi/>
      </w:pPr>
      <w:r>
        <w:rPr>
          <w:rFonts w:ascii="Arial" w:hAnsi="Arial" w:cs="Arial"/>
          <w:b w:val="0"/>
          <w:sz w:val="24"/>
          <w:rtl w:val="1"/>
        </w:rPr>
        <w:t>1) حدّد المحور والفئة والمتغير لصياغة عنوان دقيق.</w:t>
      </w:r>
    </w:p>
    <w:p>
      <w:pPr>
        <w:spacing w:after="60" w:before="0" w:line="324" w:lineRule="auto"/>
        <w:jc w:val="right"/>
        <w:bidi/>
      </w:pPr>
      <w:r>
        <w:rPr>
          <w:rFonts w:ascii="Arial" w:hAnsi="Arial" w:cs="Arial"/>
          <w:b w:val="0"/>
          <w:sz w:val="24"/>
          <w:rtl w:val="1"/>
        </w:rPr>
        <w:t>2) اجمع مراجع حديثة (70% من آخر 5 سنوات) من مصادر موثوقة.</w:t>
      </w:r>
    </w:p>
    <w:p>
      <w:pPr>
        <w:spacing w:after="60" w:before="0" w:line="324" w:lineRule="auto"/>
        <w:jc w:val="right"/>
        <w:bidi/>
      </w:pPr>
      <w:r>
        <w:rPr>
          <w:rFonts w:ascii="Arial" w:hAnsi="Arial" w:cs="Arial"/>
          <w:b w:val="0"/>
          <w:sz w:val="24"/>
          <w:rtl w:val="1"/>
        </w:rPr>
        <w:t>3) ابنِ خطة البحث (Proposal) واعرضها على المشرف.</w:t>
      </w:r>
    </w:p>
    <w:p>
      <w:pPr>
        <w:spacing w:after="60" w:before="0" w:line="324" w:lineRule="auto"/>
        <w:jc w:val="right"/>
        <w:bidi/>
      </w:pPr>
      <w:r>
        <w:rPr>
          <w:rFonts w:ascii="Arial" w:hAnsi="Arial" w:cs="Arial"/>
          <w:b w:val="0"/>
          <w:sz w:val="24"/>
          <w:rtl w:val="1"/>
        </w:rPr>
        <w:t>4) التزم بالتوثيق الصحيح (APA) لتجنّب الاقتباس غير المشروع.</w:t>
      </w:r>
    </w:p>
    <w:p>
      <w:pPr>
        <w:spacing w:after="60" w:before="0" w:line="324" w:lineRule="auto"/>
        <w:jc w:val="right"/>
        <w:bidi/>
      </w:pPr>
      <w:r>
        <w:rPr>
          <w:rFonts w:ascii="Arial" w:hAnsi="Arial" w:cs="Arial"/>
          <w:b w:val="0"/>
          <w:sz w:val="24"/>
          <w:rtl w:val="1"/>
        </w:rPr>
        <w:t>5) راجع الرسالة لغويًا وإحصائيًا قبل التسليم.</w:t>
      </w:r>
    </w:p>
    <w:p>
      <w:pPr>
        <w:spacing w:after="80" w:before="200" w:line="324" w:lineRule="auto"/>
        <w:jc w:val="right"/>
        <w:bidi/>
      </w:pPr>
      <w:r>
        <w:rPr>
          <w:rFonts w:ascii="Arial" w:hAnsi="Arial" w:cs="Arial"/>
          <w:b/>
          <w:color w:val="1F618D"/>
          <w:sz w:val="28"/>
          <w:rtl w:val="1"/>
        </w:rPr>
        <w:t>مصادر موثوقة للتحميل</w:t>
      </w:r>
    </w:p>
    <w:p>
      <w:pPr>
        <w:spacing w:after="120" w:before="0" w:line="324" w:lineRule="auto"/>
        <w:jc w:val="right"/>
        <w:bidi/>
      </w:pPr>
      <w:r>
        <w:rPr>
          <w:rFonts w:ascii="Arial" w:hAnsi="Arial" w:cs="Arial"/>
          <w:b w:val="0"/>
          <w:color w:val="555555"/>
          <w:sz w:val="22"/>
          <w:rtl w:val="1"/>
        </w:rPr>
        <w:t>مستودعات الجامعات الرقمية، وقاعدة «شمعة» (Shamaa)، ودار المنظومة، ومنصات مثل ResearchGate وScribd للنص الكامل.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