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60" w:line="324" w:lineRule="auto"/>
        <w:jc w:val="center"/>
        <w:bidi/>
      </w:pPr>
      <w:r>
        <w:rPr>
          <w:rFonts w:ascii="Arial" w:hAnsi="Arial" w:cs="Arial"/>
          <w:b/>
          <w:color w:val="1B4F72"/>
          <w:sz w:val="38"/>
          <w:rtl w:val="1"/>
        </w:rPr>
        <w:t>دليل رسائل ماجستير عن ذوي الاحتياجات الخاصة</w:t>
      </w:r>
    </w:p>
    <w:p>
      <w:pPr>
        <w:spacing w:after="40" w:before="0" w:line="324" w:lineRule="auto"/>
        <w:jc w:val="center"/>
        <w:bidi/>
      </w:pPr>
      <w:r>
        <w:rPr>
          <w:rFonts w:ascii="Arial" w:hAnsi="Arial" w:cs="Arial"/>
          <w:b w:val="0"/>
          <w:color w:val="555555"/>
          <w:sz w:val="24"/>
          <w:rtl w:val="1"/>
        </w:rPr>
        <w:t>عناوين مقترحة + هيكل الرسالة + مصادر التحميل</w:t>
      </w:r>
    </w:p>
    <w:p>
      <w:pPr>
        <w:spacing w:after="280" w:before="0" w:line="324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إعداد: شركة توبرز للخدمات الطلابية — toppers-edu.com — واتساب +966549093465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عناوين مقترحة لرسالتك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فاعلية برنامج تدريبي لتنمية المهارات الاجتماعية لدى ذوي الإعاقة الذهنية.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اتجاهات معلمي التعليم العام نحو دمج ذوي الاحتياجات الخاصة.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أثر التكنولوجيا المساعدة على التحصيل لدى الطلاب ذوي صعوبات التعلم.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الضغوط النفسية لدى أُسر ذوي الاحتياجات الخاصة وسبل مواجهتها.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جودة الحياة لدى ذوي الإعاقة الحركية في ضوء بعض المتغيرات.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أمثلة من دراسات منشورة (للاسترشاد)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درجة تطبيق المدارس الدامجة للمعايير الوطنية لذوي الاحتياجات الخاصة من وجهة نظر المعلمين.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الجهود التشريعية لتمكين ذوي الاحتياجات الخاصة: دراسة مقارنة.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واقع العدالة القانونية لحماية ذوي الاحتياجات الخاصة.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الهيكل التنظيمي للرسالة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الأول: الإطار العام (المشكلة، الأهداف، الأهمية، المصطلحات).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الثاني: الإطار النظري والدراسات السابقة وتحديد الفجوة البحثية.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الثالث: منهج الدراسة وأدواتها وتحليل البيانات.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الفصل الرابع: النتائج والمناقشة والتوصيات.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قائمة المراجع (بطريقة APA) والملاحق.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خطوات مختصرة للإعداد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1) حدّد المحور والفئة والمتغير لصياغة عنوان دقيق.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2) اجمع مراجع حديثة (70% من آخر 5 سنوات) من مصادر موثوقة.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3) ابنِ خطة البحث (Proposal) واعرضها على المشرف.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4) التزم بالتوثيق الصحيح (APA) لتجنّب الاقتباس غير المشروع.</w:t>
      </w:r>
    </w:p>
    <w:p>
      <w:pPr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5) راجع الرسالة لغويًا وإحصائيًا قبل التسليم.</w:t>
      </w:r>
    </w:p>
    <w:p>
      <w:pPr>
        <w:spacing w:after="80" w:before="200" w:line="324" w:lineRule="auto"/>
        <w:jc w:val="right"/>
        <w:bidi/>
      </w:pPr>
      <w:r>
        <w:rPr>
          <w:rFonts w:ascii="Arial" w:hAnsi="Arial" w:cs="Arial"/>
          <w:b/>
          <w:color w:val="1F618D"/>
          <w:sz w:val="28"/>
          <w:rtl w:val="1"/>
        </w:rPr>
        <w:t>مصادر موثوقة للتحميل</w:t>
      </w:r>
    </w:p>
    <w:p>
      <w:pPr>
        <w:spacing w:after="120" w:before="0" w:line="324" w:lineRule="auto"/>
        <w:jc w:val="right"/>
        <w:bidi/>
      </w:pPr>
      <w:r>
        <w:rPr>
          <w:rFonts w:ascii="Arial" w:hAnsi="Arial" w:cs="Arial"/>
          <w:b w:val="0"/>
          <w:color w:val="555555"/>
          <w:sz w:val="22"/>
          <w:rtl w:val="1"/>
        </w:rPr>
        <w:t>مستودعات الجامعات الرقمية، وقاعدة «شمعة» (Shamaa)، ودار المنظومة، ومنصات مثل ResearchGate للنص الكامل.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